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3F" w:rsidRPr="00CC3324" w:rsidRDefault="004A203F" w:rsidP="004A203F">
      <w:pPr>
        <w:pStyle w:val="Heading1"/>
        <w:rPr>
          <w:color w:val="0000FF"/>
          <w:rtl/>
        </w:rPr>
      </w:pPr>
      <w:r>
        <w:rPr>
          <w:rFonts w:hint="cs"/>
          <w:color w:val="0000FF"/>
          <w:rtl/>
        </w:rPr>
        <w:t>العلوم الطبية</w:t>
      </w:r>
    </w:p>
    <w:p w:rsidR="004A203F" w:rsidRDefault="004A203F" w:rsidP="004A203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أحياء طبية</w:t>
      </w:r>
    </w:p>
    <w:p w:rsidR="004A203F" w:rsidRPr="00B87E1C" w:rsidRDefault="004A203F" w:rsidP="004A203F">
      <w:pPr>
        <w:pStyle w:val="Heading2"/>
        <w:jc w:val="both"/>
        <w:rPr>
          <w:rtl/>
        </w:rPr>
      </w:pPr>
      <w:r>
        <w:rPr>
          <w:rFonts w:hint="cs"/>
          <w:rtl/>
        </w:rPr>
        <w:t xml:space="preserve">طفرة جينية </w:t>
      </w:r>
      <w:r>
        <w:rPr>
          <w:rtl/>
        </w:rPr>
        <w:t>–</w:t>
      </w:r>
      <w:r>
        <w:rPr>
          <w:rFonts w:hint="cs"/>
          <w:rtl/>
        </w:rPr>
        <w:t xml:space="preserve"> سرطان ثدي</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4A203F" w:rsidRPr="00AF4A25"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4A203F" w:rsidRPr="000B0A8D" w:rsidRDefault="004A203F" w:rsidP="004676F4">
            <w:pPr>
              <w:jc w:val="center"/>
              <w:rPr>
                <w:b/>
                <w:bCs/>
                <w:color w:val="0000FF"/>
                <w:sz w:val="32"/>
                <w:szCs w:val="32"/>
              </w:rPr>
            </w:pPr>
            <w:r w:rsidRPr="000B0A8D">
              <w:rPr>
                <w:rFonts w:hint="cs"/>
                <w:b/>
                <w:bCs/>
                <w:color w:val="0000FF"/>
                <w:sz w:val="32"/>
                <w:szCs w:val="32"/>
                <w:rtl/>
              </w:rPr>
              <w:t>19</w:t>
            </w:r>
            <w:r>
              <w:rPr>
                <w:rFonts w:hint="cs"/>
                <w:b/>
                <w:bCs/>
                <w:color w:val="0000FF"/>
                <w:sz w:val="32"/>
                <w:szCs w:val="32"/>
                <w:rtl/>
              </w:rPr>
              <w:t>4</w:t>
            </w:r>
          </w:p>
        </w:tc>
        <w:tc>
          <w:tcPr>
            <w:tcW w:w="236" w:type="dxa"/>
            <w:tcBorders>
              <w:top w:val="nil"/>
              <w:left w:val="single" w:sz="12" w:space="0" w:color="auto"/>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Pr>
            </w:pPr>
            <w:r w:rsidRPr="00AF4A25">
              <w:rPr>
                <w:rFonts w:hint="cs"/>
                <w:b/>
                <w:bCs/>
                <w:sz w:val="28"/>
                <w:rtl/>
              </w:rPr>
              <w:t>رقــم البحــث :</w:t>
            </w:r>
          </w:p>
        </w:tc>
        <w:tc>
          <w:tcPr>
            <w:tcW w:w="3807" w:type="dxa"/>
            <w:tcBorders>
              <w:top w:val="nil"/>
              <w:left w:val="nil"/>
              <w:bottom w:val="nil"/>
              <w:right w:val="nil"/>
            </w:tcBorders>
          </w:tcPr>
          <w:p w:rsidR="004A203F" w:rsidRPr="00AF4A25" w:rsidRDefault="004A203F" w:rsidP="004676F4">
            <w:pPr>
              <w:rPr>
                <w:sz w:val="28"/>
              </w:rPr>
            </w:pPr>
            <w:r w:rsidRPr="00AF4A25">
              <w:rPr>
                <w:rFonts w:hint="cs"/>
                <w:sz w:val="28"/>
                <w:rtl/>
              </w:rPr>
              <w:t>012/427</w:t>
            </w:r>
          </w:p>
        </w:tc>
      </w:tr>
      <w:tr w:rsidR="004A203F" w:rsidRPr="00AF4A25" w:rsidTr="004676F4">
        <w:trPr>
          <w:cantSplit/>
        </w:trPr>
        <w:tc>
          <w:tcPr>
            <w:tcW w:w="654" w:type="dxa"/>
            <w:tcBorders>
              <w:top w:val="single" w:sz="12" w:space="0" w:color="auto"/>
              <w:left w:val="nil"/>
              <w:bottom w:val="nil"/>
              <w:right w:val="nil"/>
            </w:tcBorders>
            <w:vAlign w:val="center"/>
          </w:tcPr>
          <w:p w:rsidR="004A203F" w:rsidRPr="00AF4A25" w:rsidRDefault="004A203F" w:rsidP="004676F4">
            <w:pPr>
              <w:rPr>
                <w:sz w:val="28"/>
              </w:rPr>
            </w:pPr>
          </w:p>
        </w:tc>
        <w:tc>
          <w:tcPr>
            <w:tcW w:w="236" w:type="dxa"/>
            <w:tcBorders>
              <w:top w:val="nil"/>
              <w:left w:val="nil"/>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tl/>
              </w:rPr>
            </w:pPr>
            <w:r w:rsidRPr="00AF4A25">
              <w:rPr>
                <w:rFonts w:hint="cs"/>
                <w:b/>
                <w:bCs/>
                <w:sz w:val="28"/>
                <w:rtl/>
              </w:rPr>
              <w:t>عنوان البحـــث :</w:t>
            </w:r>
          </w:p>
        </w:tc>
        <w:tc>
          <w:tcPr>
            <w:tcW w:w="3807" w:type="dxa"/>
            <w:tcBorders>
              <w:top w:val="nil"/>
              <w:left w:val="nil"/>
              <w:bottom w:val="nil"/>
              <w:right w:val="nil"/>
            </w:tcBorders>
          </w:tcPr>
          <w:p w:rsidR="004A203F" w:rsidRPr="00AF4A25" w:rsidRDefault="004A203F" w:rsidP="004676F4">
            <w:pPr>
              <w:ind w:left="72"/>
              <w:rPr>
                <w:sz w:val="28"/>
                <w:rtl/>
              </w:rPr>
            </w:pPr>
            <w:r w:rsidRPr="00AF4A25">
              <w:rPr>
                <w:rFonts w:hint="cs"/>
                <w:sz w:val="28"/>
                <w:rtl/>
              </w:rPr>
              <w:t xml:space="preserve">تقييم الطرق التحليلية لتحديد وكشف التغيرات المصاحبة للطفرة الجينية </w:t>
            </w:r>
            <w:r w:rsidRPr="00AF4A25">
              <w:rPr>
                <w:sz w:val="28"/>
              </w:rPr>
              <w:t>Her2</w:t>
            </w:r>
            <w:r w:rsidRPr="00AF4A25">
              <w:rPr>
                <w:rFonts w:hint="cs"/>
                <w:sz w:val="28"/>
                <w:rtl/>
              </w:rPr>
              <w:t xml:space="preserve"> لمرضى سرطان الثدي.</w:t>
            </w:r>
          </w:p>
        </w:tc>
      </w:tr>
      <w:tr w:rsidR="004A203F" w:rsidRPr="00AF4A25" w:rsidTr="004676F4">
        <w:tc>
          <w:tcPr>
            <w:tcW w:w="654" w:type="dxa"/>
            <w:tcBorders>
              <w:top w:val="nil"/>
              <w:left w:val="nil"/>
              <w:bottom w:val="nil"/>
              <w:right w:val="nil"/>
            </w:tcBorders>
          </w:tcPr>
          <w:p w:rsidR="004A203F" w:rsidRPr="00AF4A25" w:rsidRDefault="004A203F" w:rsidP="004676F4">
            <w:pPr>
              <w:jc w:val="both"/>
              <w:rPr>
                <w:b/>
                <w:bCs/>
                <w:sz w:val="28"/>
              </w:rPr>
            </w:pPr>
          </w:p>
        </w:tc>
        <w:tc>
          <w:tcPr>
            <w:tcW w:w="236" w:type="dxa"/>
            <w:tcBorders>
              <w:top w:val="nil"/>
              <w:left w:val="nil"/>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Pr>
            </w:pPr>
            <w:r w:rsidRPr="00AF4A25">
              <w:rPr>
                <w:rFonts w:hint="cs"/>
                <w:b/>
                <w:bCs/>
                <w:sz w:val="28"/>
                <w:rtl/>
              </w:rPr>
              <w:t>الباحث الرئيــس :</w:t>
            </w:r>
          </w:p>
        </w:tc>
        <w:tc>
          <w:tcPr>
            <w:tcW w:w="3807" w:type="dxa"/>
            <w:tcBorders>
              <w:top w:val="nil"/>
              <w:left w:val="nil"/>
              <w:bottom w:val="nil"/>
              <w:right w:val="nil"/>
            </w:tcBorders>
          </w:tcPr>
          <w:p w:rsidR="004A203F" w:rsidRPr="00AF4A25" w:rsidRDefault="004A203F" w:rsidP="004676F4">
            <w:pPr>
              <w:rPr>
                <w:sz w:val="28"/>
              </w:rPr>
            </w:pPr>
            <w:r w:rsidRPr="00AF4A25">
              <w:rPr>
                <w:rFonts w:hint="cs"/>
                <w:sz w:val="28"/>
                <w:rtl/>
              </w:rPr>
              <w:t>د. عبد الحكيم محمد كيلاني</w:t>
            </w:r>
          </w:p>
        </w:tc>
      </w:tr>
      <w:tr w:rsidR="004A203F" w:rsidRPr="00AF4A25" w:rsidTr="004676F4">
        <w:tc>
          <w:tcPr>
            <w:tcW w:w="654" w:type="dxa"/>
            <w:tcBorders>
              <w:top w:val="nil"/>
              <w:left w:val="nil"/>
              <w:bottom w:val="nil"/>
              <w:right w:val="nil"/>
            </w:tcBorders>
          </w:tcPr>
          <w:p w:rsidR="004A203F" w:rsidRPr="00AF4A25" w:rsidRDefault="004A203F" w:rsidP="004676F4">
            <w:pPr>
              <w:jc w:val="both"/>
              <w:rPr>
                <w:b/>
                <w:bCs/>
                <w:sz w:val="28"/>
              </w:rPr>
            </w:pPr>
          </w:p>
        </w:tc>
        <w:tc>
          <w:tcPr>
            <w:tcW w:w="236" w:type="dxa"/>
            <w:tcBorders>
              <w:top w:val="nil"/>
              <w:left w:val="nil"/>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Pr>
            </w:pPr>
            <w:r w:rsidRPr="00AF4A25">
              <w:rPr>
                <w:rFonts w:hint="cs"/>
                <w:b/>
                <w:bCs/>
                <w:sz w:val="28"/>
                <w:rtl/>
              </w:rPr>
              <w:t>الباحثون المشاركون :</w:t>
            </w:r>
          </w:p>
        </w:tc>
        <w:tc>
          <w:tcPr>
            <w:tcW w:w="3807" w:type="dxa"/>
            <w:tcBorders>
              <w:top w:val="nil"/>
              <w:left w:val="nil"/>
              <w:bottom w:val="nil"/>
              <w:right w:val="nil"/>
            </w:tcBorders>
          </w:tcPr>
          <w:p w:rsidR="004A203F" w:rsidRPr="00AF4A25" w:rsidRDefault="004A203F" w:rsidP="004676F4">
            <w:pPr>
              <w:rPr>
                <w:sz w:val="28"/>
                <w:rtl/>
              </w:rPr>
            </w:pPr>
            <w:r w:rsidRPr="00AF4A25">
              <w:rPr>
                <w:rFonts w:hint="cs"/>
                <w:sz w:val="28"/>
                <w:rtl/>
              </w:rPr>
              <w:t>د. محمد حسين القحطاني</w:t>
            </w:r>
          </w:p>
          <w:p w:rsidR="004A203F" w:rsidRPr="00AF4A25" w:rsidRDefault="004A203F" w:rsidP="004676F4">
            <w:pPr>
              <w:rPr>
                <w:sz w:val="28"/>
                <w:rtl/>
              </w:rPr>
            </w:pPr>
            <w:r w:rsidRPr="00AF4A25">
              <w:rPr>
                <w:rFonts w:hint="cs"/>
                <w:sz w:val="28"/>
                <w:rtl/>
              </w:rPr>
              <w:t xml:space="preserve">د. جودة </w:t>
            </w:r>
            <w:r>
              <w:rPr>
                <w:rFonts w:hint="cs"/>
                <w:sz w:val="28"/>
                <w:rtl/>
              </w:rPr>
              <w:t xml:space="preserve">أحمد </w:t>
            </w:r>
            <w:r w:rsidRPr="00AF4A25">
              <w:rPr>
                <w:rFonts w:hint="cs"/>
                <w:sz w:val="28"/>
                <w:rtl/>
              </w:rPr>
              <w:t>المغربي</w:t>
            </w:r>
          </w:p>
          <w:p w:rsidR="004A203F" w:rsidRPr="00AF4A25" w:rsidRDefault="004A203F" w:rsidP="004676F4">
            <w:pPr>
              <w:rPr>
                <w:sz w:val="28"/>
              </w:rPr>
            </w:pPr>
            <w:r w:rsidRPr="00AF4A25">
              <w:rPr>
                <w:rFonts w:hint="cs"/>
                <w:sz w:val="28"/>
                <w:rtl/>
              </w:rPr>
              <w:t xml:space="preserve">د. هاني </w:t>
            </w:r>
            <w:r>
              <w:rPr>
                <w:rFonts w:hint="cs"/>
                <w:sz w:val="28"/>
                <w:rtl/>
              </w:rPr>
              <w:t xml:space="preserve">زكريا </w:t>
            </w:r>
            <w:r w:rsidRPr="00AF4A25">
              <w:rPr>
                <w:rFonts w:hint="cs"/>
                <w:sz w:val="28"/>
                <w:rtl/>
              </w:rPr>
              <w:t>عصفور</w:t>
            </w:r>
          </w:p>
        </w:tc>
      </w:tr>
      <w:tr w:rsidR="004A203F" w:rsidRPr="00AF4A25" w:rsidTr="004676F4">
        <w:tc>
          <w:tcPr>
            <w:tcW w:w="654" w:type="dxa"/>
            <w:tcBorders>
              <w:top w:val="nil"/>
              <w:left w:val="nil"/>
              <w:bottom w:val="nil"/>
              <w:right w:val="nil"/>
            </w:tcBorders>
          </w:tcPr>
          <w:p w:rsidR="004A203F" w:rsidRPr="00AF4A25" w:rsidRDefault="004A203F" w:rsidP="004676F4">
            <w:pPr>
              <w:jc w:val="both"/>
              <w:rPr>
                <w:b/>
                <w:bCs/>
                <w:sz w:val="28"/>
              </w:rPr>
            </w:pPr>
          </w:p>
        </w:tc>
        <w:tc>
          <w:tcPr>
            <w:tcW w:w="236" w:type="dxa"/>
            <w:tcBorders>
              <w:top w:val="nil"/>
              <w:left w:val="nil"/>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Pr>
            </w:pPr>
            <w:r w:rsidRPr="00AF4A25">
              <w:rPr>
                <w:rFonts w:hint="cs"/>
                <w:b/>
                <w:bCs/>
                <w:sz w:val="28"/>
                <w:rtl/>
              </w:rPr>
              <w:t>الجهـــــــة :</w:t>
            </w:r>
          </w:p>
        </w:tc>
        <w:tc>
          <w:tcPr>
            <w:tcW w:w="3807" w:type="dxa"/>
            <w:tcBorders>
              <w:top w:val="nil"/>
              <w:left w:val="nil"/>
              <w:bottom w:val="nil"/>
              <w:right w:val="nil"/>
            </w:tcBorders>
          </w:tcPr>
          <w:p w:rsidR="004A203F" w:rsidRPr="00AF4A25" w:rsidRDefault="004A203F" w:rsidP="004676F4">
            <w:pPr>
              <w:rPr>
                <w:sz w:val="28"/>
              </w:rPr>
            </w:pPr>
            <w:r w:rsidRPr="00AF4A25">
              <w:rPr>
                <w:rFonts w:hint="cs"/>
                <w:sz w:val="28"/>
                <w:rtl/>
              </w:rPr>
              <w:t xml:space="preserve"> كلية الطب</w:t>
            </w:r>
          </w:p>
        </w:tc>
      </w:tr>
      <w:tr w:rsidR="004A203F" w:rsidRPr="00AF4A25" w:rsidTr="004676F4">
        <w:tc>
          <w:tcPr>
            <w:tcW w:w="654" w:type="dxa"/>
            <w:tcBorders>
              <w:top w:val="nil"/>
              <w:left w:val="nil"/>
              <w:bottom w:val="nil"/>
              <w:right w:val="nil"/>
            </w:tcBorders>
          </w:tcPr>
          <w:p w:rsidR="004A203F" w:rsidRPr="00AF4A25" w:rsidRDefault="004A203F" w:rsidP="004676F4">
            <w:pPr>
              <w:jc w:val="both"/>
              <w:rPr>
                <w:b/>
                <w:bCs/>
                <w:sz w:val="28"/>
              </w:rPr>
            </w:pPr>
          </w:p>
        </w:tc>
        <w:tc>
          <w:tcPr>
            <w:tcW w:w="236" w:type="dxa"/>
            <w:tcBorders>
              <w:top w:val="nil"/>
              <w:left w:val="nil"/>
              <w:bottom w:val="nil"/>
              <w:right w:val="nil"/>
            </w:tcBorders>
          </w:tcPr>
          <w:p w:rsidR="004A203F" w:rsidRPr="00AF4A25" w:rsidRDefault="004A203F" w:rsidP="004676F4">
            <w:pPr>
              <w:jc w:val="both"/>
              <w:rPr>
                <w:b/>
                <w:bCs/>
                <w:sz w:val="28"/>
              </w:rPr>
            </w:pPr>
          </w:p>
        </w:tc>
        <w:tc>
          <w:tcPr>
            <w:tcW w:w="2053" w:type="dxa"/>
            <w:tcBorders>
              <w:top w:val="nil"/>
              <w:left w:val="nil"/>
              <w:bottom w:val="nil"/>
              <w:right w:val="nil"/>
            </w:tcBorders>
          </w:tcPr>
          <w:p w:rsidR="004A203F" w:rsidRPr="00AF4A25" w:rsidRDefault="004A203F" w:rsidP="004676F4">
            <w:pPr>
              <w:jc w:val="both"/>
              <w:rPr>
                <w:b/>
                <w:bCs/>
                <w:sz w:val="28"/>
              </w:rPr>
            </w:pPr>
            <w:r w:rsidRPr="00AF4A25">
              <w:rPr>
                <w:rFonts w:hint="cs"/>
                <w:b/>
                <w:bCs/>
                <w:sz w:val="28"/>
                <w:rtl/>
              </w:rPr>
              <w:t>مدة تنفيـذ البحـث :</w:t>
            </w:r>
          </w:p>
        </w:tc>
        <w:tc>
          <w:tcPr>
            <w:tcW w:w="3807" w:type="dxa"/>
            <w:tcBorders>
              <w:top w:val="nil"/>
              <w:left w:val="nil"/>
              <w:bottom w:val="nil"/>
              <w:right w:val="nil"/>
            </w:tcBorders>
          </w:tcPr>
          <w:p w:rsidR="004A203F" w:rsidRPr="00AF4A25" w:rsidRDefault="004A203F" w:rsidP="004676F4">
            <w:pPr>
              <w:jc w:val="both"/>
              <w:rPr>
                <w:sz w:val="28"/>
              </w:rPr>
            </w:pPr>
            <w:r w:rsidRPr="00AF4A25">
              <w:rPr>
                <w:rFonts w:hint="cs"/>
                <w:sz w:val="28"/>
                <w:rtl/>
              </w:rPr>
              <w:t>سنتان</w:t>
            </w:r>
          </w:p>
        </w:tc>
      </w:tr>
      <w:tr w:rsidR="004A203F" w:rsidRPr="00AF4A25" w:rsidTr="004676F4">
        <w:trPr>
          <w:cantSplit/>
        </w:trPr>
        <w:tc>
          <w:tcPr>
            <w:tcW w:w="654" w:type="dxa"/>
            <w:tcBorders>
              <w:top w:val="nil"/>
              <w:left w:val="nil"/>
              <w:bottom w:val="nil"/>
              <w:right w:val="nil"/>
            </w:tcBorders>
          </w:tcPr>
          <w:p w:rsidR="004A203F" w:rsidRPr="00AF4A25" w:rsidRDefault="004A203F" w:rsidP="004676F4">
            <w:pPr>
              <w:jc w:val="both"/>
              <w:rPr>
                <w:b/>
                <w:bCs/>
                <w:sz w:val="28"/>
              </w:rPr>
            </w:pPr>
          </w:p>
        </w:tc>
        <w:tc>
          <w:tcPr>
            <w:tcW w:w="6096" w:type="dxa"/>
            <w:gridSpan w:val="3"/>
            <w:tcBorders>
              <w:top w:val="nil"/>
              <w:left w:val="nil"/>
              <w:bottom w:val="nil"/>
              <w:right w:val="nil"/>
            </w:tcBorders>
          </w:tcPr>
          <w:p w:rsidR="004A203F" w:rsidRPr="00AF4A25" w:rsidRDefault="004A203F" w:rsidP="004676F4">
            <w:pPr>
              <w:pStyle w:val="Heading6"/>
              <w:rPr>
                <w:sz w:val="28"/>
              </w:rPr>
            </w:pPr>
            <w:r w:rsidRPr="00AF4A25">
              <w:rPr>
                <w:rFonts w:hint="cs"/>
                <w:sz w:val="28"/>
                <w:rtl/>
              </w:rPr>
              <w:t>مستخلص البحث</w:t>
            </w:r>
          </w:p>
        </w:tc>
      </w:tr>
    </w:tbl>
    <w:p w:rsidR="004A203F" w:rsidRPr="00AF4A25" w:rsidRDefault="004A203F" w:rsidP="004A203F">
      <w:pPr>
        <w:rPr>
          <w:sz w:val="28"/>
          <w:rtl/>
        </w:rPr>
      </w:pPr>
      <w:r w:rsidRPr="00AF4A25">
        <w:rPr>
          <w:rFonts w:hint="cs"/>
          <w:sz w:val="28"/>
          <w:rtl/>
        </w:rPr>
        <w:t xml:space="preserve">        تعتبر الطفرة الجينية </w:t>
      </w:r>
      <w:r w:rsidRPr="00AF4A25">
        <w:rPr>
          <w:sz w:val="28"/>
        </w:rPr>
        <w:t>Her2</w:t>
      </w:r>
      <w:r w:rsidRPr="00AF4A25">
        <w:rPr>
          <w:rFonts w:hint="cs"/>
          <w:sz w:val="28"/>
          <w:rtl/>
        </w:rPr>
        <w:t xml:space="preserve"> من الموروثات المسببة لسرطان الثدي وهي تتواجد على الكروموسوم السابع عشر، كما أنها تحمل مستقبلات النمو على جدار الخلية مع إنزيم الثايروسين كاينيز النشط. وقد تم تحديد تضخم وزيادة هذه الطفرة الجينية </w:t>
      </w:r>
      <w:r w:rsidRPr="00AF4A25">
        <w:rPr>
          <w:sz w:val="28"/>
        </w:rPr>
        <w:t>Her2</w:t>
      </w:r>
      <w:r w:rsidRPr="00AF4A25">
        <w:rPr>
          <w:rFonts w:hint="cs"/>
          <w:sz w:val="28"/>
          <w:rtl/>
        </w:rPr>
        <w:t xml:space="preserve"> في حوالي 20 إلى 30% من سرطان الثدي، كما وقد كان له التطور البطيء في تاريخ المرض.</w:t>
      </w:r>
    </w:p>
    <w:p w:rsidR="004A203F" w:rsidRPr="00AF4A25" w:rsidRDefault="004A203F" w:rsidP="004A203F">
      <w:pPr>
        <w:rPr>
          <w:sz w:val="28"/>
          <w:rtl/>
        </w:rPr>
      </w:pPr>
      <w:r w:rsidRPr="00AF4A25">
        <w:rPr>
          <w:rFonts w:hint="cs"/>
          <w:sz w:val="28"/>
          <w:rtl/>
        </w:rPr>
        <w:t xml:space="preserve">      إن تضاعف الطفرة الجينية </w:t>
      </w:r>
      <w:r w:rsidRPr="00AF4A25">
        <w:rPr>
          <w:sz w:val="28"/>
        </w:rPr>
        <w:t>Her2</w:t>
      </w:r>
      <w:r w:rsidRPr="00AF4A25">
        <w:rPr>
          <w:rFonts w:hint="cs"/>
          <w:sz w:val="28"/>
          <w:rtl/>
        </w:rPr>
        <w:t xml:space="preserve"> المصاحب بزيادة البروتين يعتبر من المؤشرات البيولوجية المهمة لتحديد التوقع للاستجابة للعقار المتوفر والذي يسمى </w:t>
      </w:r>
      <w:proofErr w:type="spellStart"/>
      <w:r w:rsidRPr="00AF4A25">
        <w:rPr>
          <w:sz w:val="28"/>
        </w:rPr>
        <w:t>Herceptin</w:t>
      </w:r>
      <w:proofErr w:type="spellEnd"/>
      <w:r w:rsidRPr="00AF4A25">
        <w:rPr>
          <w:rFonts w:hint="cs"/>
          <w:sz w:val="28"/>
          <w:rtl/>
        </w:rPr>
        <w:t xml:space="preserve"> والذي يعتبر من مضادات السرطان الهامة التي لها نشاطات معنوية سواء استخدام منفرد أو مع العلاج الكيماوي.</w:t>
      </w:r>
    </w:p>
    <w:p w:rsidR="004A203F" w:rsidRPr="00AF4A25" w:rsidRDefault="004A203F" w:rsidP="004A203F">
      <w:pPr>
        <w:rPr>
          <w:sz w:val="28"/>
          <w:rtl/>
        </w:rPr>
      </w:pPr>
      <w:r w:rsidRPr="00AF4A25">
        <w:rPr>
          <w:rFonts w:hint="cs"/>
          <w:sz w:val="28"/>
          <w:rtl/>
        </w:rPr>
        <w:t xml:space="preserve">     كما تعتبر التحاليل المخبرية بهذا الصدد خطوة أساسية للتعامل الصحيح مع الحالات المتأخرة لمرضى سرطان الثدي، لذا فإن هنالك طريقتين من أهم الطرق التشخيصية المخبرية لهذا المرض لتقييم مراحل الطفرة الجينية </w:t>
      </w:r>
      <w:r w:rsidRPr="00AF4A25">
        <w:rPr>
          <w:sz w:val="28"/>
        </w:rPr>
        <w:t>Her2</w:t>
      </w:r>
      <w:r w:rsidRPr="00AF4A25">
        <w:rPr>
          <w:rFonts w:hint="cs"/>
          <w:sz w:val="28"/>
          <w:rtl/>
        </w:rPr>
        <w:t xml:space="preserve"> ألا وهي المقايسة النسيجية المناعية </w:t>
      </w:r>
      <w:r w:rsidRPr="00AF4A25">
        <w:rPr>
          <w:sz w:val="28"/>
        </w:rPr>
        <w:t>(IHC)</w:t>
      </w:r>
      <w:r w:rsidRPr="00AF4A25">
        <w:rPr>
          <w:rFonts w:hint="cs"/>
          <w:sz w:val="28"/>
          <w:rtl/>
        </w:rPr>
        <w:t xml:space="preserve"> والتحليل الوميضي المهجن </w:t>
      </w:r>
      <w:r w:rsidRPr="00AF4A25">
        <w:rPr>
          <w:sz w:val="28"/>
        </w:rPr>
        <w:t>(FISH)</w:t>
      </w:r>
      <w:r w:rsidRPr="00AF4A25">
        <w:rPr>
          <w:rFonts w:hint="cs"/>
          <w:sz w:val="28"/>
          <w:rtl/>
        </w:rPr>
        <w:t xml:space="preserve"> وتعتبر هاتين الطريقتين من الطرق العالمية المتبعة والموصى بها.</w:t>
      </w:r>
    </w:p>
    <w:p w:rsidR="004A203F" w:rsidRPr="00AF4A25" w:rsidRDefault="004A203F" w:rsidP="004A203F">
      <w:pPr>
        <w:rPr>
          <w:sz w:val="28"/>
          <w:rtl/>
        </w:rPr>
      </w:pPr>
      <w:r w:rsidRPr="00AF4A25">
        <w:rPr>
          <w:rFonts w:hint="cs"/>
          <w:sz w:val="28"/>
          <w:rtl/>
        </w:rPr>
        <w:t xml:space="preserve">     ونحن هنا بصدد تحديد المستوى لتضاعف الطفرة الجينية </w:t>
      </w:r>
      <w:r w:rsidRPr="00AF4A25">
        <w:rPr>
          <w:sz w:val="28"/>
        </w:rPr>
        <w:t>Her2</w:t>
      </w:r>
      <w:r w:rsidRPr="00AF4A25">
        <w:rPr>
          <w:rFonts w:hint="cs"/>
          <w:sz w:val="28"/>
          <w:rtl/>
        </w:rPr>
        <w:t xml:space="preserve"> بواسطة استخدام الطريقتين سابقة الذكر وتقييم النتائج واستخلاص الأفضل.</w:t>
      </w:r>
    </w:p>
    <w:p w:rsidR="004A203F" w:rsidRDefault="004A203F">
      <w:pPr>
        <w:bidi w:val="0"/>
        <w:spacing w:after="200"/>
        <w:jc w:val="left"/>
        <w:rPr>
          <w:rtl/>
        </w:rPr>
      </w:pPr>
      <w:r>
        <w:rPr>
          <w:rtl/>
        </w:rPr>
        <w:br w:type="page"/>
      </w:r>
    </w:p>
    <w:p w:rsidR="004A203F" w:rsidRPr="00CC3324" w:rsidRDefault="004A203F" w:rsidP="004A203F">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4A203F" w:rsidRPr="00E03176" w:rsidRDefault="004A203F" w:rsidP="004A203F">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Med. Biology</w:t>
      </w:r>
    </w:p>
    <w:p w:rsidR="004A203F" w:rsidRPr="007627D8" w:rsidRDefault="004A203F" w:rsidP="004A203F">
      <w:pPr>
        <w:pStyle w:val="Heading3"/>
        <w:ind w:left="436"/>
        <w:rPr>
          <w:szCs w:val="24"/>
        </w:rPr>
      </w:pPr>
      <w:r>
        <w:rPr>
          <w:szCs w:val="24"/>
        </w:rPr>
        <w:t>Tissue – Her2 – Breast cancer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4A203F" w:rsidTr="004676F4">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4A203F" w:rsidRPr="00CC3324" w:rsidRDefault="004A203F" w:rsidP="004676F4">
            <w:pPr>
              <w:bidi w:val="0"/>
              <w:rPr>
                <w:b/>
                <w:bCs/>
                <w:color w:val="0000FF"/>
                <w:sz w:val="32"/>
                <w:szCs w:val="32"/>
              </w:rPr>
            </w:pPr>
            <w:r>
              <w:rPr>
                <w:b/>
                <w:bCs/>
                <w:color w:val="0000FF"/>
                <w:sz w:val="32"/>
                <w:szCs w:val="32"/>
              </w:rPr>
              <w:t>194</w:t>
            </w:r>
          </w:p>
        </w:tc>
        <w:tc>
          <w:tcPr>
            <w:tcW w:w="263" w:type="dxa"/>
            <w:tcBorders>
              <w:top w:val="nil"/>
              <w:left w:val="single" w:sz="18" w:space="0" w:color="auto"/>
              <w:bottom w:val="nil"/>
              <w:right w:val="nil"/>
            </w:tcBorders>
          </w:tcPr>
          <w:p w:rsidR="004A203F" w:rsidRDefault="004A203F" w:rsidP="004676F4">
            <w:pPr>
              <w:bidi w:val="0"/>
              <w:rPr>
                <w:b/>
                <w:bCs/>
              </w:rPr>
            </w:pPr>
          </w:p>
        </w:tc>
        <w:tc>
          <w:tcPr>
            <w:tcW w:w="2636" w:type="dxa"/>
            <w:tcBorders>
              <w:top w:val="nil"/>
              <w:left w:val="nil"/>
              <w:bottom w:val="nil"/>
              <w:right w:val="nil"/>
            </w:tcBorders>
          </w:tcPr>
          <w:p w:rsidR="004A203F" w:rsidRPr="00E03176" w:rsidRDefault="004A203F"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A203F" w:rsidRPr="006B0778" w:rsidRDefault="004A203F" w:rsidP="004676F4">
            <w:pPr>
              <w:pStyle w:val="NormalWeb"/>
              <w:tabs>
                <w:tab w:val="left" w:pos="720"/>
                <w:tab w:val="center" w:pos="4153"/>
                <w:tab w:val="right" w:pos="8306"/>
              </w:tabs>
              <w:jc w:val="both"/>
            </w:pPr>
            <w:r>
              <w:t>012</w:t>
            </w:r>
            <w:r w:rsidRPr="006B0778">
              <w:t>/42</w:t>
            </w:r>
            <w:r>
              <w:t>7</w:t>
            </w:r>
          </w:p>
        </w:tc>
      </w:tr>
      <w:tr w:rsidR="004A203F" w:rsidRPr="0082040A" w:rsidTr="004676F4">
        <w:trPr>
          <w:trHeight w:val="561"/>
        </w:trPr>
        <w:tc>
          <w:tcPr>
            <w:tcW w:w="697" w:type="dxa"/>
            <w:tcBorders>
              <w:top w:val="single" w:sz="18" w:space="0" w:color="auto"/>
              <w:left w:val="nil"/>
              <w:bottom w:val="nil"/>
              <w:right w:val="nil"/>
            </w:tcBorders>
            <w:vAlign w:val="center"/>
          </w:tcPr>
          <w:p w:rsidR="004A203F" w:rsidRDefault="004A203F" w:rsidP="004676F4">
            <w:pPr>
              <w:bidi w:val="0"/>
            </w:pPr>
          </w:p>
        </w:tc>
        <w:tc>
          <w:tcPr>
            <w:tcW w:w="263" w:type="dxa"/>
            <w:tcBorders>
              <w:top w:val="nil"/>
              <w:left w:val="nil"/>
              <w:bottom w:val="nil"/>
              <w:right w:val="nil"/>
            </w:tcBorders>
          </w:tcPr>
          <w:p w:rsidR="004A203F" w:rsidRDefault="004A203F" w:rsidP="004676F4">
            <w:pPr>
              <w:bidi w:val="0"/>
              <w:rPr>
                <w:b/>
                <w:bCs/>
              </w:rPr>
            </w:pPr>
          </w:p>
        </w:tc>
        <w:tc>
          <w:tcPr>
            <w:tcW w:w="2636" w:type="dxa"/>
            <w:tcBorders>
              <w:top w:val="nil"/>
              <w:left w:val="nil"/>
              <w:bottom w:val="nil"/>
              <w:right w:val="nil"/>
            </w:tcBorders>
          </w:tcPr>
          <w:p w:rsidR="004A203F" w:rsidRPr="00E03176" w:rsidRDefault="004A203F"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A203F" w:rsidRPr="006B0778" w:rsidRDefault="004A203F" w:rsidP="004676F4">
            <w:pPr>
              <w:bidi w:val="0"/>
              <w:jc w:val="both"/>
              <w:rPr>
                <w:rFonts w:cs="Times New Roman"/>
                <w:szCs w:val="24"/>
              </w:rPr>
            </w:pPr>
            <w:r>
              <w:rPr>
                <w:rFonts w:cs="Times New Roman"/>
                <w:szCs w:val="24"/>
              </w:rPr>
              <w:t>Evaluation of the methods for tissue-based detection of the Her2/</w:t>
            </w:r>
            <w:proofErr w:type="spellStart"/>
            <w:r>
              <w:rPr>
                <w:rFonts w:cs="Times New Roman"/>
                <w:szCs w:val="24"/>
              </w:rPr>
              <w:t>neu</w:t>
            </w:r>
            <w:proofErr w:type="spellEnd"/>
            <w:r>
              <w:rPr>
                <w:rFonts w:cs="Times New Roman"/>
                <w:szCs w:val="24"/>
              </w:rPr>
              <w:t xml:space="preserve"> gene alteration in human breast cancer</w:t>
            </w:r>
          </w:p>
        </w:tc>
      </w:tr>
      <w:tr w:rsidR="004A203F" w:rsidTr="004676F4">
        <w:trPr>
          <w:trHeight w:val="288"/>
        </w:trPr>
        <w:tc>
          <w:tcPr>
            <w:tcW w:w="697" w:type="dxa"/>
            <w:tcBorders>
              <w:top w:val="nil"/>
              <w:left w:val="nil"/>
              <w:bottom w:val="nil"/>
              <w:right w:val="nil"/>
            </w:tcBorders>
          </w:tcPr>
          <w:p w:rsidR="004A203F" w:rsidRDefault="004A203F" w:rsidP="004676F4">
            <w:pPr>
              <w:bidi w:val="0"/>
              <w:rPr>
                <w:b/>
                <w:bCs/>
              </w:rPr>
            </w:pPr>
          </w:p>
        </w:tc>
        <w:tc>
          <w:tcPr>
            <w:tcW w:w="263" w:type="dxa"/>
            <w:tcBorders>
              <w:top w:val="nil"/>
              <w:left w:val="nil"/>
              <w:bottom w:val="nil"/>
              <w:right w:val="nil"/>
            </w:tcBorders>
          </w:tcPr>
          <w:p w:rsidR="004A203F" w:rsidRDefault="004A203F" w:rsidP="004676F4">
            <w:pPr>
              <w:bidi w:val="0"/>
              <w:rPr>
                <w:b/>
                <w:bCs/>
              </w:rPr>
            </w:pPr>
          </w:p>
        </w:tc>
        <w:tc>
          <w:tcPr>
            <w:tcW w:w="2636" w:type="dxa"/>
            <w:tcBorders>
              <w:top w:val="nil"/>
              <w:left w:val="nil"/>
              <w:bottom w:val="nil"/>
              <w:right w:val="nil"/>
            </w:tcBorders>
          </w:tcPr>
          <w:p w:rsidR="004A203F" w:rsidRPr="00E03176" w:rsidRDefault="004A203F"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A203F" w:rsidRPr="006B0778" w:rsidRDefault="004A203F" w:rsidP="004676F4">
            <w:pPr>
              <w:bidi w:val="0"/>
              <w:jc w:val="left"/>
              <w:rPr>
                <w:rFonts w:cs="Times New Roman"/>
                <w:szCs w:val="24"/>
              </w:rPr>
            </w:pPr>
            <w:r w:rsidRPr="00015557">
              <w:rPr>
                <w:rFonts w:cs="Times New Roman"/>
                <w:szCs w:val="24"/>
              </w:rPr>
              <w:t xml:space="preserve">Dr. </w:t>
            </w:r>
            <w:proofErr w:type="spellStart"/>
            <w:r>
              <w:rPr>
                <w:rFonts w:cs="Times New Roman"/>
                <w:szCs w:val="24"/>
              </w:rPr>
              <w:t>Abdelhakim</w:t>
            </w:r>
            <w:proofErr w:type="spellEnd"/>
            <w:r>
              <w:rPr>
                <w:rFonts w:cs="Times New Roman"/>
                <w:szCs w:val="24"/>
              </w:rPr>
              <w:t xml:space="preserve"> M. </w:t>
            </w:r>
            <w:proofErr w:type="spellStart"/>
            <w:r>
              <w:rPr>
                <w:rFonts w:cs="Times New Roman"/>
                <w:szCs w:val="24"/>
              </w:rPr>
              <w:t>Kelany</w:t>
            </w:r>
            <w:proofErr w:type="spellEnd"/>
          </w:p>
        </w:tc>
      </w:tr>
      <w:tr w:rsidR="004A203F" w:rsidTr="004676F4">
        <w:trPr>
          <w:trHeight w:val="68"/>
        </w:trPr>
        <w:tc>
          <w:tcPr>
            <w:tcW w:w="697" w:type="dxa"/>
            <w:tcBorders>
              <w:top w:val="nil"/>
              <w:left w:val="nil"/>
              <w:right w:val="nil"/>
            </w:tcBorders>
          </w:tcPr>
          <w:p w:rsidR="004A203F" w:rsidRDefault="004A203F" w:rsidP="004676F4">
            <w:pPr>
              <w:bidi w:val="0"/>
              <w:rPr>
                <w:b/>
                <w:bCs/>
              </w:rPr>
            </w:pPr>
          </w:p>
        </w:tc>
        <w:tc>
          <w:tcPr>
            <w:tcW w:w="263" w:type="dxa"/>
            <w:tcBorders>
              <w:top w:val="nil"/>
              <w:left w:val="nil"/>
              <w:right w:val="nil"/>
            </w:tcBorders>
          </w:tcPr>
          <w:p w:rsidR="004A203F" w:rsidRDefault="004A203F" w:rsidP="004676F4">
            <w:pPr>
              <w:bidi w:val="0"/>
              <w:rPr>
                <w:b/>
                <w:bCs/>
              </w:rPr>
            </w:pPr>
          </w:p>
        </w:tc>
        <w:tc>
          <w:tcPr>
            <w:tcW w:w="2636" w:type="dxa"/>
            <w:tcBorders>
              <w:top w:val="nil"/>
              <w:left w:val="nil"/>
              <w:right w:val="nil"/>
            </w:tcBorders>
          </w:tcPr>
          <w:p w:rsidR="004A203F" w:rsidRPr="00E03176" w:rsidRDefault="004A203F"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A203F" w:rsidRDefault="004A203F" w:rsidP="004676F4">
            <w:pPr>
              <w:bidi w:val="0"/>
              <w:jc w:val="left"/>
              <w:rPr>
                <w:rFonts w:cs="Times New Roman"/>
                <w:szCs w:val="24"/>
              </w:rPr>
            </w:pPr>
            <w:r>
              <w:rPr>
                <w:rFonts w:cs="Times New Roman"/>
                <w:szCs w:val="24"/>
              </w:rPr>
              <w:t xml:space="preserve">Dr. Mohammed H. Al </w:t>
            </w:r>
            <w:proofErr w:type="spellStart"/>
            <w:r>
              <w:rPr>
                <w:rFonts w:cs="Times New Roman"/>
                <w:szCs w:val="24"/>
              </w:rPr>
              <w:t>Qahtani</w:t>
            </w:r>
            <w:proofErr w:type="spellEnd"/>
          </w:p>
          <w:p w:rsidR="004A203F" w:rsidRPr="006B0778" w:rsidRDefault="004A203F" w:rsidP="004676F4">
            <w:pPr>
              <w:bidi w:val="0"/>
              <w:jc w:val="left"/>
              <w:rPr>
                <w:rFonts w:cs="Times New Roman"/>
                <w:szCs w:val="24"/>
              </w:rPr>
            </w:pPr>
            <w:r>
              <w:rPr>
                <w:rFonts w:cs="Times New Roman"/>
                <w:szCs w:val="24"/>
              </w:rPr>
              <w:t xml:space="preserve">Dr. </w:t>
            </w:r>
            <w:proofErr w:type="spellStart"/>
            <w:r>
              <w:rPr>
                <w:rFonts w:cs="Times New Roman"/>
                <w:szCs w:val="24"/>
              </w:rPr>
              <w:t>Jaudah</w:t>
            </w:r>
            <w:proofErr w:type="spellEnd"/>
            <w:r>
              <w:rPr>
                <w:rFonts w:cs="Times New Roman"/>
                <w:szCs w:val="24"/>
              </w:rPr>
              <w:t xml:space="preserve"> A. Al-</w:t>
            </w:r>
            <w:proofErr w:type="spellStart"/>
            <w:r>
              <w:rPr>
                <w:rFonts w:cs="Times New Roman"/>
                <w:szCs w:val="24"/>
              </w:rPr>
              <w:t>Maghrabi</w:t>
            </w:r>
            <w:proofErr w:type="spellEnd"/>
          </w:p>
        </w:tc>
      </w:tr>
      <w:tr w:rsidR="004A203F" w:rsidTr="004676F4">
        <w:trPr>
          <w:trHeight w:val="334"/>
        </w:trPr>
        <w:tc>
          <w:tcPr>
            <w:tcW w:w="697" w:type="dxa"/>
            <w:tcBorders>
              <w:top w:val="nil"/>
              <w:left w:val="nil"/>
              <w:bottom w:val="nil"/>
              <w:right w:val="nil"/>
            </w:tcBorders>
          </w:tcPr>
          <w:p w:rsidR="004A203F" w:rsidRDefault="004A203F" w:rsidP="004676F4">
            <w:pPr>
              <w:bidi w:val="0"/>
              <w:rPr>
                <w:b/>
                <w:bCs/>
              </w:rPr>
            </w:pPr>
          </w:p>
        </w:tc>
        <w:tc>
          <w:tcPr>
            <w:tcW w:w="263" w:type="dxa"/>
            <w:tcBorders>
              <w:top w:val="nil"/>
              <w:left w:val="nil"/>
              <w:bottom w:val="nil"/>
              <w:right w:val="nil"/>
            </w:tcBorders>
          </w:tcPr>
          <w:p w:rsidR="004A203F" w:rsidRDefault="004A203F" w:rsidP="004676F4">
            <w:pPr>
              <w:bidi w:val="0"/>
              <w:rPr>
                <w:b/>
                <w:bCs/>
              </w:rPr>
            </w:pPr>
          </w:p>
        </w:tc>
        <w:tc>
          <w:tcPr>
            <w:tcW w:w="2636" w:type="dxa"/>
            <w:tcBorders>
              <w:top w:val="nil"/>
              <w:left w:val="nil"/>
              <w:bottom w:val="nil"/>
              <w:right w:val="nil"/>
            </w:tcBorders>
          </w:tcPr>
          <w:p w:rsidR="004A203F" w:rsidRPr="00E03176" w:rsidRDefault="004A203F"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A203F" w:rsidRPr="006B0778" w:rsidRDefault="004A203F" w:rsidP="004676F4">
            <w:pPr>
              <w:bidi w:val="0"/>
              <w:rPr>
                <w:szCs w:val="24"/>
              </w:rPr>
            </w:pPr>
            <w:r w:rsidRPr="006B0778">
              <w:rPr>
                <w:szCs w:val="24"/>
              </w:rPr>
              <w:t>Faculty of</w:t>
            </w:r>
            <w:r w:rsidRPr="006B0778">
              <w:rPr>
                <w:rFonts w:cs="Akhbar MT"/>
                <w:szCs w:val="24"/>
              </w:rPr>
              <w:t xml:space="preserve"> </w:t>
            </w:r>
            <w:r>
              <w:rPr>
                <w:szCs w:val="24"/>
              </w:rPr>
              <w:t>Medicine</w:t>
            </w:r>
          </w:p>
        </w:tc>
      </w:tr>
      <w:tr w:rsidR="004A203F" w:rsidTr="004676F4">
        <w:trPr>
          <w:trHeight w:val="318"/>
        </w:trPr>
        <w:tc>
          <w:tcPr>
            <w:tcW w:w="697" w:type="dxa"/>
            <w:tcBorders>
              <w:top w:val="nil"/>
              <w:left w:val="nil"/>
              <w:bottom w:val="nil"/>
              <w:right w:val="nil"/>
            </w:tcBorders>
          </w:tcPr>
          <w:p w:rsidR="004A203F" w:rsidRDefault="004A203F" w:rsidP="004676F4">
            <w:pPr>
              <w:bidi w:val="0"/>
              <w:rPr>
                <w:b/>
                <w:bCs/>
              </w:rPr>
            </w:pPr>
          </w:p>
        </w:tc>
        <w:tc>
          <w:tcPr>
            <w:tcW w:w="263" w:type="dxa"/>
            <w:tcBorders>
              <w:top w:val="nil"/>
              <w:left w:val="nil"/>
              <w:bottom w:val="nil"/>
              <w:right w:val="nil"/>
            </w:tcBorders>
          </w:tcPr>
          <w:p w:rsidR="004A203F" w:rsidRDefault="004A203F" w:rsidP="004676F4">
            <w:pPr>
              <w:bidi w:val="0"/>
              <w:rPr>
                <w:b/>
                <w:bCs/>
              </w:rPr>
            </w:pPr>
          </w:p>
        </w:tc>
        <w:tc>
          <w:tcPr>
            <w:tcW w:w="2636" w:type="dxa"/>
            <w:tcBorders>
              <w:top w:val="nil"/>
              <w:left w:val="nil"/>
              <w:bottom w:val="nil"/>
              <w:right w:val="nil"/>
            </w:tcBorders>
          </w:tcPr>
          <w:p w:rsidR="004A203F" w:rsidRPr="00E03176" w:rsidRDefault="004A203F"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A203F" w:rsidRPr="006B0778" w:rsidRDefault="004A203F" w:rsidP="004676F4">
            <w:pPr>
              <w:bidi w:val="0"/>
              <w:rPr>
                <w:szCs w:val="24"/>
              </w:rPr>
            </w:pPr>
            <w:r>
              <w:rPr>
                <w:szCs w:val="24"/>
              </w:rPr>
              <w:t>24</w:t>
            </w:r>
            <w:r w:rsidRPr="006B0778">
              <w:rPr>
                <w:szCs w:val="24"/>
              </w:rPr>
              <w:t xml:space="preserve"> Months</w:t>
            </w:r>
          </w:p>
        </w:tc>
      </w:tr>
      <w:tr w:rsidR="004A203F" w:rsidTr="004676F4">
        <w:trPr>
          <w:trHeight w:val="551"/>
        </w:trPr>
        <w:tc>
          <w:tcPr>
            <w:tcW w:w="697" w:type="dxa"/>
            <w:tcBorders>
              <w:top w:val="nil"/>
              <w:left w:val="nil"/>
              <w:bottom w:val="nil"/>
              <w:right w:val="nil"/>
            </w:tcBorders>
          </w:tcPr>
          <w:p w:rsidR="004A203F" w:rsidRDefault="004A203F" w:rsidP="004676F4">
            <w:pPr>
              <w:bidi w:val="0"/>
              <w:rPr>
                <w:b/>
                <w:bCs/>
              </w:rPr>
            </w:pPr>
          </w:p>
        </w:tc>
        <w:tc>
          <w:tcPr>
            <w:tcW w:w="6552" w:type="dxa"/>
            <w:gridSpan w:val="3"/>
            <w:tcBorders>
              <w:top w:val="nil"/>
              <w:left w:val="nil"/>
              <w:bottom w:val="nil"/>
              <w:right w:val="nil"/>
            </w:tcBorders>
          </w:tcPr>
          <w:p w:rsidR="004A203F" w:rsidRDefault="004A203F" w:rsidP="004676F4">
            <w:pPr>
              <w:pStyle w:val="Heading6"/>
              <w:bidi w:val="0"/>
            </w:pPr>
            <w:r>
              <w:t>Abstract</w:t>
            </w:r>
          </w:p>
        </w:tc>
      </w:tr>
    </w:tbl>
    <w:p w:rsidR="004A203F" w:rsidRDefault="004A203F" w:rsidP="004A203F">
      <w:pPr>
        <w:pStyle w:val="FootnoteText"/>
        <w:bidi w:val="0"/>
        <w:rPr>
          <w:rFonts w:cs="Times New Roman"/>
          <w:noProof w:val="0"/>
          <w:szCs w:val="24"/>
        </w:rPr>
      </w:pPr>
      <w:r>
        <w:rPr>
          <w:rFonts w:cs="Times New Roman"/>
          <w:noProof w:val="0"/>
          <w:szCs w:val="24"/>
        </w:rPr>
        <w:tab/>
        <w:t xml:space="preserve">HER-2 is a </w:t>
      </w:r>
      <w:proofErr w:type="spellStart"/>
      <w:r>
        <w:rPr>
          <w:rFonts w:cs="Times New Roman"/>
          <w:noProof w:val="0"/>
          <w:szCs w:val="24"/>
        </w:rPr>
        <w:t>protoncogene</w:t>
      </w:r>
      <w:proofErr w:type="spellEnd"/>
      <w:r>
        <w:rPr>
          <w:rFonts w:cs="Times New Roman"/>
          <w:noProof w:val="0"/>
          <w:szCs w:val="24"/>
        </w:rPr>
        <w:t xml:space="preserve"> located on chromosome 17. It encodes a </w:t>
      </w:r>
      <w:proofErr w:type="spellStart"/>
      <w:r>
        <w:rPr>
          <w:rFonts w:cs="Times New Roman"/>
          <w:noProof w:val="0"/>
          <w:szCs w:val="24"/>
        </w:rPr>
        <w:t>transmembrane</w:t>
      </w:r>
      <w:proofErr w:type="spellEnd"/>
      <w:r>
        <w:rPr>
          <w:rFonts w:cs="Times New Roman"/>
          <w:noProof w:val="0"/>
          <w:szCs w:val="24"/>
        </w:rPr>
        <w:t xml:space="preserve"> growth factor receptor with tyrosine </w:t>
      </w:r>
      <w:proofErr w:type="spellStart"/>
      <w:r>
        <w:rPr>
          <w:rFonts w:cs="Times New Roman"/>
          <w:noProof w:val="0"/>
          <w:szCs w:val="24"/>
        </w:rPr>
        <w:t>kinase</w:t>
      </w:r>
      <w:proofErr w:type="spellEnd"/>
      <w:r>
        <w:rPr>
          <w:rFonts w:cs="Times New Roman"/>
          <w:noProof w:val="0"/>
          <w:szCs w:val="24"/>
        </w:rPr>
        <w:t xml:space="preserve"> activity. </w:t>
      </w:r>
      <w:proofErr w:type="spellStart"/>
      <w:r>
        <w:rPr>
          <w:rFonts w:cs="Times New Roman"/>
          <w:noProof w:val="0"/>
          <w:szCs w:val="24"/>
        </w:rPr>
        <w:t>Overexpression</w:t>
      </w:r>
      <w:proofErr w:type="spellEnd"/>
      <w:r>
        <w:rPr>
          <w:rFonts w:cs="Times New Roman"/>
          <w:noProof w:val="0"/>
          <w:szCs w:val="24"/>
        </w:rPr>
        <w:t xml:space="preserve"> and/or amplification of HER-2 are detected in approximately 20% to 30% of invasive </w:t>
      </w:r>
      <w:proofErr w:type="spellStart"/>
      <w:r>
        <w:rPr>
          <w:rFonts w:cs="Times New Roman"/>
          <w:noProof w:val="0"/>
          <w:szCs w:val="24"/>
        </w:rPr>
        <w:t>ductal</w:t>
      </w:r>
      <w:proofErr w:type="spellEnd"/>
      <w:r>
        <w:rPr>
          <w:rFonts w:cs="Times New Roman"/>
          <w:noProof w:val="0"/>
          <w:szCs w:val="24"/>
        </w:rPr>
        <w:t xml:space="preserve"> carcinomas of the breast and have been associated with a poor prognosis.3 Amplification of the HER-2 </w:t>
      </w:r>
      <w:proofErr w:type="spellStart"/>
      <w:r>
        <w:rPr>
          <w:rFonts w:cs="Times New Roman"/>
          <w:noProof w:val="0"/>
          <w:szCs w:val="24"/>
        </w:rPr>
        <w:t>oncogene</w:t>
      </w:r>
      <w:proofErr w:type="spellEnd"/>
      <w:r>
        <w:rPr>
          <w:rFonts w:cs="Times New Roman"/>
          <w:noProof w:val="0"/>
          <w:szCs w:val="24"/>
        </w:rPr>
        <w:t xml:space="preserve"> and concomitant </w:t>
      </w:r>
      <w:proofErr w:type="spellStart"/>
      <w:r>
        <w:rPr>
          <w:rFonts w:cs="Times New Roman"/>
          <w:noProof w:val="0"/>
          <w:szCs w:val="24"/>
        </w:rPr>
        <w:t>overexpression</w:t>
      </w:r>
      <w:proofErr w:type="spellEnd"/>
      <w:r>
        <w:rPr>
          <w:rFonts w:cs="Times New Roman"/>
          <w:noProof w:val="0"/>
          <w:szCs w:val="24"/>
        </w:rPr>
        <w:t xml:space="preserve"> of protein are currently implicated in breast carcinoma as important biomarkers for predicting response to </w:t>
      </w:r>
      <w:proofErr w:type="spellStart"/>
      <w:r>
        <w:rPr>
          <w:rFonts w:cs="Times New Roman"/>
          <w:noProof w:val="0"/>
          <w:szCs w:val="24"/>
        </w:rPr>
        <w:t>trastuzumab</w:t>
      </w:r>
      <w:proofErr w:type="spellEnd"/>
      <w:r>
        <w:rPr>
          <w:rFonts w:cs="Times New Roman"/>
          <w:noProof w:val="0"/>
          <w:szCs w:val="24"/>
        </w:rPr>
        <w:t xml:space="preserve"> (</w:t>
      </w:r>
      <w:proofErr w:type="spellStart"/>
      <w:r>
        <w:rPr>
          <w:rFonts w:cs="Times New Roman"/>
          <w:noProof w:val="0"/>
          <w:szCs w:val="24"/>
        </w:rPr>
        <w:t>Herceptin</w:t>
      </w:r>
      <w:proofErr w:type="spellEnd"/>
      <w:r>
        <w:rPr>
          <w:rFonts w:cs="Times New Roman"/>
          <w:noProof w:val="0"/>
          <w:szCs w:val="24"/>
        </w:rPr>
        <w:t xml:space="preserve">, Roche, Basel, Switzerland), which has </w:t>
      </w:r>
      <w:proofErr w:type="spellStart"/>
      <w:r>
        <w:rPr>
          <w:rFonts w:cs="Times New Roman"/>
          <w:noProof w:val="0"/>
          <w:szCs w:val="24"/>
        </w:rPr>
        <w:t>signifgicant</w:t>
      </w:r>
      <w:proofErr w:type="spellEnd"/>
      <w:r>
        <w:rPr>
          <w:rFonts w:cs="Times New Roman"/>
          <w:noProof w:val="0"/>
          <w:szCs w:val="24"/>
        </w:rPr>
        <w:t xml:space="preserve"> anti-</w:t>
      </w:r>
      <w:proofErr w:type="spellStart"/>
      <w:r>
        <w:rPr>
          <w:rFonts w:cs="Times New Roman"/>
          <w:noProof w:val="0"/>
          <w:szCs w:val="24"/>
        </w:rPr>
        <w:t>tumour</w:t>
      </w:r>
      <w:proofErr w:type="spellEnd"/>
      <w:r>
        <w:rPr>
          <w:rFonts w:cs="Times New Roman"/>
          <w:noProof w:val="0"/>
          <w:szCs w:val="24"/>
        </w:rPr>
        <w:t xml:space="preserve"> activity both as single agent and in combination with chemotherapy in these patients. For this reason, laboratory assessment of HER-2 status is becoming a key step in the optimal </w:t>
      </w:r>
      <w:proofErr w:type="spellStart"/>
      <w:r>
        <w:rPr>
          <w:rFonts w:cs="Times New Roman"/>
          <w:noProof w:val="0"/>
          <w:szCs w:val="24"/>
        </w:rPr>
        <w:t>managemen</w:t>
      </w:r>
      <w:proofErr w:type="spellEnd"/>
      <w:r>
        <w:rPr>
          <w:rFonts w:cs="Times New Roman"/>
          <w:noProof w:val="0"/>
          <w:szCs w:val="24"/>
        </w:rPr>
        <w:t xml:space="preserve"> t of patients with advanced breast cancer. </w:t>
      </w:r>
      <w:proofErr w:type="spellStart"/>
      <w:r>
        <w:rPr>
          <w:rFonts w:cs="Times New Roman"/>
          <w:noProof w:val="0"/>
          <w:szCs w:val="24"/>
        </w:rPr>
        <w:t>Immunohistochemical</w:t>
      </w:r>
      <w:proofErr w:type="spellEnd"/>
      <w:r>
        <w:rPr>
          <w:rFonts w:cs="Times New Roman"/>
          <w:noProof w:val="0"/>
          <w:szCs w:val="24"/>
        </w:rPr>
        <w:t xml:space="preserve"> (IHC) and fluorescence in situ hybridization (FISH) have emerged as the two most widely used assays to evaluate HER-2 status in breast cancer. Both methods are recommended by national and international guidelines. Our aim will determine the </w:t>
      </w:r>
      <w:proofErr w:type="spellStart"/>
      <w:r>
        <w:rPr>
          <w:rFonts w:cs="Times New Roman"/>
          <w:noProof w:val="0"/>
          <w:szCs w:val="24"/>
        </w:rPr>
        <w:t>aneusomy</w:t>
      </w:r>
      <w:proofErr w:type="spellEnd"/>
      <w:r>
        <w:rPr>
          <w:rFonts w:cs="Times New Roman"/>
          <w:noProof w:val="0"/>
          <w:szCs w:val="24"/>
        </w:rPr>
        <w:t xml:space="preserve"> level and the HER-2 gene copy </w:t>
      </w:r>
      <w:proofErr w:type="spellStart"/>
      <w:r>
        <w:rPr>
          <w:rFonts w:cs="Times New Roman"/>
          <w:noProof w:val="0"/>
          <w:szCs w:val="24"/>
        </w:rPr>
        <w:t>numbners</w:t>
      </w:r>
      <w:proofErr w:type="spellEnd"/>
      <w:r>
        <w:rPr>
          <w:rFonts w:cs="Times New Roman"/>
          <w:noProof w:val="0"/>
          <w:szCs w:val="24"/>
        </w:rPr>
        <w:t xml:space="preserve">, by fluorescence in situ hybridization (FISH) and to </w:t>
      </w:r>
      <w:proofErr w:type="spellStart"/>
      <w:r>
        <w:rPr>
          <w:rFonts w:cs="Times New Roman"/>
          <w:noProof w:val="0"/>
          <w:szCs w:val="24"/>
        </w:rPr>
        <w:t>anlyze</w:t>
      </w:r>
      <w:proofErr w:type="spellEnd"/>
      <w:r>
        <w:rPr>
          <w:rFonts w:cs="Times New Roman"/>
          <w:noProof w:val="0"/>
          <w:szCs w:val="24"/>
        </w:rPr>
        <w:t xml:space="preserve"> their impact on the amplification rate in breast carcinomas considered HER-2 weekly positive cases by </w:t>
      </w:r>
      <w:proofErr w:type="spellStart"/>
      <w:r>
        <w:rPr>
          <w:rFonts w:cs="Times New Roman"/>
          <w:noProof w:val="0"/>
          <w:szCs w:val="24"/>
        </w:rPr>
        <w:t>immunohistochemistry</w:t>
      </w:r>
      <w:proofErr w:type="spellEnd"/>
      <w:r>
        <w:rPr>
          <w:rFonts w:cs="Times New Roman"/>
          <w:noProof w:val="0"/>
          <w:szCs w:val="24"/>
        </w:rPr>
        <w:t>.</w:t>
      </w:r>
    </w:p>
    <w:p w:rsidR="004A40DE" w:rsidRPr="004A203F" w:rsidRDefault="004A40DE">
      <w:pPr>
        <w:rPr>
          <w:rFonts w:hint="cs"/>
        </w:rPr>
      </w:pPr>
    </w:p>
    <w:sectPr w:rsidR="004A40DE" w:rsidRPr="004A203F"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A203F"/>
    <w:rsid w:val="004A203F"/>
    <w:rsid w:val="004A40DE"/>
    <w:rsid w:val="008A3B0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3F"/>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A203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A203F"/>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A203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A203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03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A203F"/>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4A203F"/>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4A203F"/>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4A203F"/>
    <w:rPr>
      <w:rFonts w:cs="Simplified Arabic"/>
      <w:noProof/>
      <w:szCs w:val="26"/>
    </w:rPr>
  </w:style>
  <w:style w:type="character" w:customStyle="1" w:styleId="FootnoteTextChar">
    <w:name w:val="Footnote Text Char"/>
    <w:basedOn w:val="DefaultParagraphFont"/>
    <w:link w:val="FootnoteText"/>
    <w:semiHidden/>
    <w:rsid w:val="004A203F"/>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A203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A20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kaudsr</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2010-06-21T18:05:00Z</dcterms:created>
  <dcterms:modified xsi:type="dcterms:W3CDTF">2010-06-21T18:06:00Z</dcterms:modified>
</cp:coreProperties>
</file>